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6C" w:rsidRDefault="0032256C" w:rsidP="00285A04">
      <w:pPr>
        <w:tabs>
          <w:tab w:val="left" w:pos="1701"/>
        </w:tabs>
        <w:spacing w:after="0" w:line="10" w:lineRule="atLeast"/>
        <w:ind w:left="-1701" w:right="4961"/>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32256C" w:rsidRDefault="0032256C" w:rsidP="00285A04">
      <w:pPr>
        <w:tabs>
          <w:tab w:val="left" w:pos="1701"/>
        </w:tabs>
        <w:spacing w:after="0" w:line="10" w:lineRule="atLeast"/>
        <w:ind w:left="-1701" w:right="4961"/>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32256C" w:rsidRDefault="0032256C" w:rsidP="00285A04">
      <w:pPr>
        <w:tabs>
          <w:tab w:val="left" w:pos="1701"/>
        </w:tabs>
        <w:spacing w:after="0" w:line="10" w:lineRule="atLeast"/>
        <w:ind w:left="-1701" w:right="4961"/>
        <w:jc w:val="center"/>
        <w:rPr>
          <w:rFonts w:ascii="Times New Roman" w:hAnsi="Times New Roman" w:cs="Times New Roman"/>
          <w:sz w:val="28"/>
          <w:szCs w:val="28"/>
        </w:rPr>
      </w:pPr>
      <w:r>
        <w:rPr>
          <w:rFonts w:ascii="Times New Roman" w:hAnsi="Times New Roman" w:cs="Times New Roman"/>
          <w:sz w:val="28"/>
          <w:szCs w:val="28"/>
        </w:rPr>
        <w:t>Светлый сельсовет</w:t>
      </w:r>
    </w:p>
    <w:p w:rsidR="0032256C" w:rsidRDefault="0032256C" w:rsidP="00285A04">
      <w:pPr>
        <w:tabs>
          <w:tab w:val="left" w:pos="1701"/>
        </w:tabs>
        <w:spacing w:after="0" w:line="10" w:lineRule="atLeast"/>
        <w:ind w:left="-1701" w:right="4961"/>
        <w:jc w:val="center"/>
        <w:rPr>
          <w:rFonts w:ascii="Times New Roman" w:hAnsi="Times New Roman" w:cs="Times New Roman"/>
          <w:sz w:val="28"/>
          <w:szCs w:val="28"/>
        </w:rPr>
      </w:pP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w:t>
      </w:r>
    </w:p>
    <w:p w:rsidR="0032256C" w:rsidRDefault="0032256C" w:rsidP="00285A04">
      <w:pPr>
        <w:tabs>
          <w:tab w:val="left" w:pos="1701"/>
        </w:tabs>
        <w:spacing w:after="0" w:line="10" w:lineRule="atLeast"/>
        <w:ind w:left="-1701" w:right="4961"/>
        <w:jc w:val="center"/>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285A04" w:rsidRDefault="00285A04" w:rsidP="00285A04">
      <w:pPr>
        <w:tabs>
          <w:tab w:val="left" w:pos="1701"/>
        </w:tabs>
        <w:spacing w:after="0" w:line="10" w:lineRule="atLeast"/>
        <w:ind w:left="-1701" w:right="4961"/>
        <w:jc w:val="center"/>
        <w:rPr>
          <w:rFonts w:ascii="Times New Roman" w:hAnsi="Times New Roman" w:cs="Times New Roman"/>
          <w:sz w:val="28"/>
          <w:szCs w:val="28"/>
        </w:rPr>
      </w:pPr>
    </w:p>
    <w:p w:rsidR="0032256C" w:rsidRDefault="0032256C" w:rsidP="00285A04">
      <w:pPr>
        <w:tabs>
          <w:tab w:val="left" w:pos="1701"/>
        </w:tabs>
        <w:spacing w:after="0" w:line="14" w:lineRule="atLeast"/>
        <w:ind w:left="-1701" w:right="4961"/>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32256C" w:rsidRDefault="0032256C" w:rsidP="0032256C">
      <w:pPr>
        <w:tabs>
          <w:tab w:val="left" w:pos="1701"/>
        </w:tabs>
        <w:spacing w:line="14" w:lineRule="atLeast"/>
        <w:ind w:left="-1701" w:right="4961"/>
        <w:jc w:val="center"/>
        <w:rPr>
          <w:rFonts w:ascii="Times New Roman" w:hAnsi="Times New Roman" w:cs="Times New Roman"/>
          <w:sz w:val="28"/>
          <w:szCs w:val="28"/>
        </w:rPr>
      </w:pPr>
      <w:r>
        <w:rPr>
          <w:rFonts w:ascii="Times New Roman" w:hAnsi="Times New Roman" w:cs="Times New Roman"/>
          <w:sz w:val="28"/>
          <w:szCs w:val="28"/>
        </w:rPr>
        <w:t>от 02.11.2020   № 77-п</w:t>
      </w:r>
    </w:p>
    <w:p w:rsidR="0032256C" w:rsidRDefault="0032256C" w:rsidP="0032256C">
      <w:pPr>
        <w:tabs>
          <w:tab w:val="left" w:pos="1701"/>
        </w:tabs>
        <w:spacing w:line="14" w:lineRule="atLeast"/>
        <w:ind w:left="-1701" w:right="4961"/>
        <w:jc w:val="center"/>
        <w:rPr>
          <w:rFonts w:ascii="Times New Roman" w:hAnsi="Times New Roman" w:cs="Times New Roman"/>
          <w:sz w:val="28"/>
          <w:szCs w:val="28"/>
        </w:rPr>
      </w:pPr>
      <w:r>
        <w:rPr>
          <w:rFonts w:ascii="Times New Roman" w:hAnsi="Times New Roman" w:cs="Times New Roman"/>
          <w:sz w:val="28"/>
          <w:szCs w:val="28"/>
        </w:rPr>
        <w:t>п. Светлый</w:t>
      </w:r>
    </w:p>
    <w:p w:rsidR="0032256C" w:rsidRDefault="0032256C" w:rsidP="0032256C">
      <w:pPr>
        <w:tabs>
          <w:tab w:val="left" w:pos="1701"/>
        </w:tabs>
        <w:spacing w:line="14" w:lineRule="atLeast"/>
        <w:ind w:left="-709" w:right="4961" w:hanging="425"/>
        <w:jc w:val="center"/>
        <w:rPr>
          <w:rFonts w:ascii="Times New Roman" w:hAnsi="Times New Roman" w:cs="Times New Roman"/>
          <w:sz w:val="28"/>
          <w:szCs w:val="28"/>
        </w:rPr>
      </w:pPr>
    </w:p>
    <w:p w:rsidR="00285A04" w:rsidRDefault="0032256C" w:rsidP="00285A04">
      <w:pPr>
        <w:tabs>
          <w:tab w:val="left" w:pos="1701"/>
        </w:tabs>
        <w:spacing w:after="0"/>
        <w:ind w:left="-284" w:right="4961"/>
        <w:rPr>
          <w:rFonts w:ascii="Times New Roman" w:hAnsi="Times New Roman" w:cs="Times New Roman"/>
          <w:sz w:val="28"/>
          <w:szCs w:val="28"/>
        </w:rPr>
      </w:pPr>
      <w:r>
        <w:rPr>
          <w:rFonts w:ascii="Times New Roman" w:hAnsi="Times New Roman" w:cs="Times New Roman"/>
          <w:sz w:val="28"/>
          <w:szCs w:val="28"/>
        </w:rPr>
        <w:t xml:space="preserve">Об утверждении методики формирования местного бюджета на 2021 год и  плановый период </w:t>
      </w:r>
    </w:p>
    <w:p w:rsidR="0032256C" w:rsidRDefault="0032256C" w:rsidP="00285A04">
      <w:pPr>
        <w:tabs>
          <w:tab w:val="left" w:pos="1701"/>
        </w:tabs>
        <w:spacing w:after="0"/>
        <w:ind w:left="-284" w:right="4961"/>
        <w:rPr>
          <w:rFonts w:ascii="Times New Roman" w:hAnsi="Times New Roman" w:cs="Times New Roman"/>
          <w:sz w:val="28"/>
          <w:szCs w:val="28"/>
        </w:rPr>
      </w:pPr>
      <w:r>
        <w:rPr>
          <w:rFonts w:ascii="Times New Roman" w:hAnsi="Times New Roman" w:cs="Times New Roman"/>
          <w:sz w:val="28"/>
          <w:szCs w:val="28"/>
        </w:rPr>
        <w:t>2022 -2023 годы.</w:t>
      </w:r>
    </w:p>
    <w:p w:rsidR="00285A04" w:rsidRDefault="00285A04" w:rsidP="00285A04">
      <w:pPr>
        <w:tabs>
          <w:tab w:val="left" w:pos="1701"/>
        </w:tabs>
        <w:spacing w:after="0"/>
        <w:ind w:left="-284" w:right="4961"/>
        <w:rPr>
          <w:rFonts w:ascii="Times New Roman" w:hAnsi="Times New Roman" w:cs="Times New Roman"/>
          <w:sz w:val="28"/>
          <w:szCs w:val="28"/>
        </w:rPr>
      </w:pPr>
    </w:p>
    <w:p w:rsidR="0032256C" w:rsidRDefault="0032256C" w:rsidP="00285A04">
      <w:pPr>
        <w:pStyle w:val="a3"/>
        <w:tabs>
          <w:tab w:val="left" w:pos="1701"/>
        </w:tabs>
        <w:spacing w:after="0" w:line="14" w:lineRule="atLeast"/>
        <w:ind w:right="-143"/>
        <w:rPr>
          <w:rFonts w:ascii="Times New Roman" w:hAnsi="Times New Roman" w:cs="Times New Roman"/>
          <w:sz w:val="28"/>
          <w:szCs w:val="28"/>
        </w:rPr>
      </w:pPr>
      <w:r>
        <w:rPr>
          <w:rFonts w:ascii="Times New Roman" w:hAnsi="Times New Roman" w:cs="Times New Roman"/>
          <w:sz w:val="28"/>
          <w:szCs w:val="28"/>
        </w:rPr>
        <w:t xml:space="preserve"> В целях подготовки проекта бюджета на 2021 год и п</w:t>
      </w:r>
      <w:r w:rsidR="00285A04">
        <w:rPr>
          <w:rFonts w:ascii="Times New Roman" w:hAnsi="Times New Roman" w:cs="Times New Roman"/>
          <w:sz w:val="28"/>
          <w:szCs w:val="28"/>
        </w:rPr>
        <w:t>лановый период 2022 – 2023 годы</w:t>
      </w:r>
      <w:r>
        <w:rPr>
          <w:rFonts w:ascii="Times New Roman" w:hAnsi="Times New Roman" w:cs="Times New Roman"/>
          <w:sz w:val="28"/>
          <w:szCs w:val="28"/>
        </w:rPr>
        <w:t>:</w:t>
      </w:r>
    </w:p>
    <w:p w:rsidR="0032256C" w:rsidRDefault="0032256C" w:rsidP="0032256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Утвердить методику формирования местного бюджета на 2021 год и плановый период  2022 – 2023 годы согласно приложению.</w:t>
      </w:r>
    </w:p>
    <w:p w:rsidR="0032256C" w:rsidRDefault="0032256C" w:rsidP="0032256C">
      <w:pPr>
        <w:pStyle w:val="a3"/>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распоряжения оставляю за собой.</w:t>
      </w:r>
    </w:p>
    <w:p w:rsidR="0032256C" w:rsidRDefault="0032256C" w:rsidP="0032256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Постановление вступает в силу со дня подписания.</w:t>
      </w:r>
    </w:p>
    <w:p w:rsidR="0032256C" w:rsidRDefault="0032256C" w:rsidP="0032256C">
      <w:pPr>
        <w:rPr>
          <w:rFonts w:cs="Times New Roman"/>
          <w:sz w:val="28"/>
          <w:szCs w:val="28"/>
        </w:rPr>
      </w:pPr>
    </w:p>
    <w:p w:rsidR="0032256C" w:rsidRDefault="0032256C" w:rsidP="0032256C">
      <w:pPr>
        <w:rPr>
          <w:rFonts w:cs="Times New Roman"/>
          <w:sz w:val="28"/>
          <w:szCs w:val="28"/>
        </w:rPr>
      </w:pPr>
    </w:p>
    <w:p w:rsidR="0032256C" w:rsidRDefault="0032256C" w:rsidP="0032256C">
      <w:pPr>
        <w:rPr>
          <w:rFonts w:cs="Times New Roman"/>
          <w:sz w:val="28"/>
          <w:szCs w:val="28"/>
        </w:rPr>
      </w:pPr>
    </w:p>
    <w:p w:rsidR="0032256C" w:rsidRDefault="0032256C" w:rsidP="0032256C">
      <w:pPr>
        <w:ind w:left="-709"/>
        <w:rPr>
          <w:rFonts w:ascii="Times New Roman" w:hAnsi="Times New Roman" w:cs="Times New Roman"/>
          <w:sz w:val="28"/>
          <w:szCs w:val="28"/>
        </w:rPr>
      </w:pPr>
      <w:r>
        <w:rPr>
          <w:rFonts w:ascii="Times New Roman" w:hAnsi="Times New Roman" w:cs="Times New Roman"/>
          <w:sz w:val="28"/>
          <w:szCs w:val="28"/>
        </w:rPr>
        <w:t>Глава МО Светлый сельсовет:                                                        Бочкарев Н.И.</w:t>
      </w:r>
    </w:p>
    <w:p w:rsidR="0032256C" w:rsidRDefault="0032256C" w:rsidP="0032256C">
      <w:pPr>
        <w:ind w:left="-709"/>
        <w:rPr>
          <w:rFonts w:ascii="Times New Roman" w:hAnsi="Times New Roman" w:cs="Times New Roman"/>
          <w:sz w:val="28"/>
          <w:szCs w:val="28"/>
        </w:rPr>
      </w:pPr>
    </w:p>
    <w:p w:rsidR="0032256C" w:rsidRDefault="0032256C" w:rsidP="0032256C">
      <w:pPr>
        <w:ind w:left="-709"/>
        <w:rPr>
          <w:rFonts w:ascii="Times New Roman" w:hAnsi="Times New Roman" w:cs="Times New Roman"/>
          <w:sz w:val="28"/>
          <w:szCs w:val="28"/>
        </w:rPr>
      </w:pPr>
    </w:p>
    <w:p w:rsidR="0032256C" w:rsidRDefault="0032256C" w:rsidP="0032256C">
      <w:pPr>
        <w:ind w:left="-709"/>
        <w:rPr>
          <w:rFonts w:ascii="Times New Roman" w:hAnsi="Times New Roman" w:cs="Times New Roman"/>
          <w:sz w:val="28"/>
          <w:szCs w:val="28"/>
        </w:rPr>
      </w:pPr>
    </w:p>
    <w:p w:rsidR="0032256C" w:rsidRDefault="0032256C" w:rsidP="0032256C">
      <w:pPr>
        <w:ind w:left="-709"/>
        <w:rPr>
          <w:rFonts w:ascii="Times New Roman" w:hAnsi="Times New Roman" w:cs="Times New Roman"/>
          <w:sz w:val="28"/>
          <w:szCs w:val="28"/>
        </w:rPr>
      </w:pPr>
    </w:p>
    <w:p w:rsidR="0032256C" w:rsidRDefault="0032256C" w:rsidP="0032256C">
      <w:pPr>
        <w:ind w:left="-709"/>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Разослано: в дело, прокуратуру, бухгалтерию</w:t>
      </w:r>
    </w:p>
    <w:p w:rsidR="00285A04" w:rsidRDefault="00285A04" w:rsidP="0032256C">
      <w:pPr>
        <w:ind w:left="-709"/>
        <w:rPr>
          <w:rFonts w:ascii="Times New Roman" w:hAnsi="Times New Roman" w:cs="Times New Roman"/>
        </w:rPr>
      </w:pPr>
    </w:p>
    <w:p w:rsidR="00285A04" w:rsidRDefault="00285A04" w:rsidP="0032256C">
      <w:pPr>
        <w:ind w:left="-709"/>
        <w:rPr>
          <w:rFonts w:ascii="Times New Roman" w:hAnsi="Times New Roman" w:cs="Times New Roman"/>
        </w:rPr>
      </w:pPr>
    </w:p>
    <w:p w:rsidR="0032256C" w:rsidRPr="00285A04" w:rsidRDefault="0032256C" w:rsidP="0032256C">
      <w:pPr>
        <w:spacing w:after="0" w:line="240" w:lineRule="auto"/>
        <w:ind w:left="5387" w:firstLine="142"/>
        <w:jc w:val="right"/>
        <w:rPr>
          <w:rFonts w:ascii="Times New Roman" w:hAnsi="Times New Roman" w:cs="Times New Roman"/>
          <w:sz w:val="24"/>
          <w:szCs w:val="24"/>
          <w:lang w:eastAsia="ru-RU"/>
        </w:rPr>
      </w:pPr>
      <w:r w:rsidRPr="00285A04">
        <w:rPr>
          <w:rFonts w:ascii="Times New Roman" w:hAnsi="Times New Roman" w:cs="Times New Roman"/>
          <w:sz w:val="24"/>
          <w:szCs w:val="24"/>
          <w:lang w:eastAsia="ru-RU"/>
        </w:rPr>
        <w:lastRenderedPageBreak/>
        <w:t>Приложение                                         к постановлению</w:t>
      </w:r>
    </w:p>
    <w:p w:rsidR="0032256C" w:rsidRDefault="0032256C" w:rsidP="0032256C">
      <w:pPr>
        <w:spacing w:after="0" w:line="240" w:lineRule="auto"/>
        <w:ind w:left="5387" w:firstLine="142"/>
        <w:jc w:val="right"/>
        <w:rPr>
          <w:rFonts w:ascii="Times New Roman" w:hAnsi="Times New Roman" w:cs="Times New Roman"/>
          <w:sz w:val="28"/>
          <w:szCs w:val="28"/>
          <w:lang w:eastAsia="ru-RU"/>
        </w:rPr>
      </w:pPr>
      <w:r w:rsidRPr="00285A04">
        <w:rPr>
          <w:rFonts w:ascii="Times New Roman" w:hAnsi="Times New Roman" w:cs="Times New Roman"/>
          <w:sz w:val="24"/>
          <w:szCs w:val="24"/>
          <w:lang w:eastAsia="ru-RU"/>
        </w:rPr>
        <w:t xml:space="preserve">  от 02.11.2020  № 77-п</w:t>
      </w:r>
    </w:p>
    <w:p w:rsidR="0032256C" w:rsidRDefault="0032256C" w:rsidP="0032256C">
      <w:pPr>
        <w:spacing w:after="0" w:line="240" w:lineRule="auto"/>
        <w:ind w:left="5387" w:firstLine="142"/>
        <w:jc w:val="right"/>
        <w:rPr>
          <w:rFonts w:ascii="Times New Roman" w:hAnsi="Times New Roman" w:cs="Times New Roman"/>
          <w:sz w:val="28"/>
          <w:szCs w:val="28"/>
          <w:lang w:eastAsia="ru-RU"/>
        </w:rPr>
      </w:pPr>
    </w:p>
    <w:p w:rsidR="0032256C" w:rsidRDefault="0032256C" w:rsidP="0032256C">
      <w:pPr>
        <w:spacing w:after="0" w:line="240" w:lineRule="auto"/>
        <w:jc w:val="right"/>
        <w:rPr>
          <w:rFonts w:ascii="Times New Roman" w:hAnsi="Times New Roman" w:cs="Times New Roman"/>
          <w:sz w:val="28"/>
          <w:szCs w:val="28"/>
          <w:lang w:eastAsia="ru-RU"/>
        </w:rPr>
      </w:pPr>
    </w:p>
    <w:p w:rsidR="0032256C" w:rsidRDefault="0032256C" w:rsidP="0032256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Методика </w:t>
      </w:r>
    </w:p>
    <w:p w:rsidR="0032256C" w:rsidRDefault="0032256C" w:rsidP="0032256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формирования бюджета Светлого сельсовета </w:t>
      </w:r>
    </w:p>
    <w:p w:rsidR="0032256C" w:rsidRDefault="0032256C" w:rsidP="0032256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 2021 год и плановый период 2022 – 2023 годы</w:t>
      </w:r>
    </w:p>
    <w:p w:rsidR="0032256C" w:rsidRDefault="0032256C" w:rsidP="0032256C">
      <w:pPr>
        <w:spacing w:after="0" w:line="240" w:lineRule="auto"/>
        <w:jc w:val="center"/>
        <w:rPr>
          <w:rFonts w:ascii="Times New Roman" w:hAnsi="Times New Roman" w:cs="Times New Roman"/>
          <w:sz w:val="28"/>
          <w:szCs w:val="28"/>
          <w:lang w:eastAsia="ru-RU"/>
        </w:rPr>
      </w:pPr>
    </w:p>
    <w:p w:rsidR="0032256C" w:rsidRDefault="0032256C" w:rsidP="0032256C">
      <w:pPr>
        <w:pStyle w:val="ConsNormal"/>
        <w:ind w:right="0"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Настоящая методика формирования местного бюджета на 2021 год и  </w:t>
      </w:r>
    </w:p>
    <w:p w:rsidR="0032256C" w:rsidRDefault="0032256C" w:rsidP="0032256C">
      <w:pPr>
        <w:pStyle w:val="formattext"/>
        <w:spacing w:before="0" w:beforeAutospacing="0" w:after="0" w:afterAutospacing="0"/>
        <w:jc w:val="both"/>
        <w:rPr>
          <w:sz w:val="28"/>
          <w:szCs w:val="28"/>
        </w:rPr>
      </w:pPr>
      <w:r>
        <w:rPr>
          <w:sz w:val="28"/>
          <w:szCs w:val="28"/>
        </w:rPr>
        <w:t>плановый период 2022-2023 годов (</w:t>
      </w:r>
      <w:proofErr w:type="spellStart"/>
      <w:r>
        <w:rPr>
          <w:sz w:val="28"/>
          <w:szCs w:val="28"/>
        </w:rPr>
        <w:t>далее-методика</w:t>
      </w:r>
      <w:proofErr w:type="spellEnd"/>
      <w:r>
        <w:rPr>
          <w:sz w:val="28"/>
          <w:szCs w:val="28"/>
        </w:rPr>
        <w:t xml:space="preserve">)  </w:t>
      </w:r>
      <w:proofErr w:type="gramStart"/>
      <w:r>
        <w:rPr>
          <w:sz w:val="28"/>
          <w:szCs w:val="28"/>
        </w:rPr>
        <w:t>разработана</w:t>
      </w:r>
      <w:proofErr w:type="gramEnd"/>
      <w:r>
        <w:rPr>
          <w:sz w:val="28"/>
          <w:szCs w:val="28"/>
        </w:rPr>
        <w:t xml:space="preserve"> в соответствии  с: </w:t>
      </w:r>
    </w:p>
    <w:p w:rsidR="0032256C" w:rsidRDefault="0032256C" w:rsidP="0032256C">
      <w:pPr>
        <w:pStyle w:val="formattext"/>
        <w:spacing w:before="0" w:beforeAutospacing="0" w:after="0" w:afterAutospacing="0"/>
        <w:jc w:val="both"/>
        <w:rPr>
          <w:sz w:val="28"/>
          <w:szCs w:val="28"/>
        </w:rPr>
      </w:pPr>
      <w:r>
        <w:rPr>
          <w:sz w:val="28"/>
          <w:szCs w:val="28"/>
        </w:rPr>
        <w:t>- статьей 174  Бюджетного кодекса  Российской Федерации,</w:t>
      </w:r>
    </w:p>
    <w:p w:rsidR="0032256C" w:rsidRDefault="0032256C" w:rsidP="0032256C">
      <w:pPr>
        <w:pStyle w:val="formattext"/>
        <w:spacing w:before="0" w:beforeAutospacing="0" w:after="0" w:afterAutospacing="0"/>
        <w:jc w:val="both"/>
        <w:rPr>
          <w:sz w:val="28"/>
          <w:szCs w:val="28"/>
        </w:rPr>
      </w:pPr>
      <w:r>
        <w:rPr>
          <w:sz w:val="28"/>
          <w:szCs w:val="28"/>
        </w:rPr>
        <w:t xml:space="preserve">- решением  Совета депутатов муниципального образования Светлый сельсовет </w:t>
      </w:r>
      <w:proofErr w:type="spellStart"/>
      <w:r>
        <w:rPr>
          <w:sz w:val="28"/>
          <w:szCs w:val="28"/>
        </w:rPr>
        <w:t>Сакмарского</w:t>
      </w:r>
      <w:proofErr w:type="spellEnd"/>
      <w:r>
        <w:rPr>
          <w:sz w:val="28"/>
          <w:szCs w:val="28"/>
        </w:rPr>
        <w:t xml:space="preserve"> района от  19.11.2013 г. № 13 «О бюджетном процессе в муниципальном образовании Светлый сельсовет </w:t>
      </w:r>
      <w:proofErr w:type="spellStart"/>
      <w:r>
        <w:rPr>
          <w:sz w:val="28"/>
          <w:szCs w:val="28"/>
        </w:rPr>
        <w:t>Сакмарского</w:t>
      </w:r>
      <w:proofErr w:type="spellEnd"/>
      <w:r>
        <w:rPr>
          <w:sz w:val="28"/>
          <w:szCs w:val="28"/>
        </w:rPr>
        <w:t xml:space="preserve"> района» с последующими изменениями от 15.11.2019 № 56;</w:t>
      </w:r>
    </w:p>
    <w:p w:rsidR="0032256C" w:rsidRDefault="0032256C" w:rsidP="0032256C">
      <w:pPr>
        <w:pStyle w:val="formattext"/>
        <w:spacing w:before="0" w:beforeAutospacing="0" w:after="0" w:afterAutospacing="0"/>
        <w:jc w:val="both"/>
        <w:rPr>
          <w:sz w:val="28"/>
          <w:szCs w:val="28"/>
        </w:rPr>
      </w:pPr>
      <w:r>
        <w:t xml:space="preserve">- </w:t>
      </w:r>
      <w:r>
        <w:rPr>
          <w:sz w:val="28"/>
          <w:szCs w:val="28"/>
        </w:rPr>
        <w:t xml:space="preserve">муниципальными  программами муниципального образования Светлый сельсовет </w:t>
      </w:r>
      <w:proofErr w:type="spellStart"/>
      <w:r>
        <w:rPr>
          <w:sz w:val="28"/>
          <w:szCs w:val="28"/>
        </w:rPr>
        <w:t>Сакмарского</w:t>
      </w:r>
      <w:proofErr w:type="spellEnd"/>
      <w:r>
        <w:rPr>
          <w:sz w:val="28"/>
          <w:szCs w:val="28"/>
        </w:rPr>
        <w:t xml:space="preserve"> района;</w:t>
      </w:r>
    </w:p>
    <w:p w:rsidR="0032256C" w:rsidRDefault="0032256C" w:rsidP="0032256C">
      <w:pPr>
        <w:pStyle w:val="formattext"/>
        <w:spacing w:before="0" w:beforeAutospacing="0" w:after="0" w:afterAutospacing="0"/>
        <w:jc w:val="both"/>
        <w:rPr>
          <w:sz w:val="28"/>
          <w:szCs w:val="28"/>
        </w:rPr>
      </w:pPr>
      <w:r>
        <w:rPr>
          <w:sz w:val="28"/>
          <w:szCs w:val="28"/>
        </w:rPr>
        <w:t xml:space="preserve">- иными правовыми актами, регулирующими бюджетные правоотношения и устанавливающими расходные обязательства муниципального образования Светлый сельсовет </w:t>
      </w:r>
      <w:proofErr w:type="spellStart"/>
      <w:r>
        <w:rPr>
          <w:sz w:val="28"/>
          <w:szCs w:val="28"/>
        </w:rPr>
        <w:t>Сакмарского</w:t>
      </w:r>
      <w:proofErr w:type="spellEnd"/>
      <w:r>
        <w:rPr>
          <w:sz w:val="28"/>
          <w:szCs w:val="28"/>
        </w:rPr>
        <w:t xml:space="preserve"> района.</w:t>
      </w:r>
    </w:p>
    <w:p w:rsidR="0032256C" w:rsidRDefault="0032256C" w:rsidP="0032256C">
      <w:pPr>
        <w:pStyle w:val="formattext"/>
        <w:spacing w:before="0" w:beforeAutospacing="0" w:after="0" w:afterAutospacing="0"/>
        <w:jc w:val="both"/>
        <w:rPr>
          <w:sz w:val="28"/>
          <w:szCs w:val="28"/>
        </w:rPr>
      </w:pPr>
      <w:r>
        <w:tab/>
      </w:r>
      <w:r>
        <w:rPr>
          <w:sz w:val="28"/>
          <w:szCs w:val="28"/>
        </w:rPr>
        <w:t>Методика  устанавливает основные подходы к формированию доходов и расходов местного бюджета на 2021 год и плановый период 2022-2023 годов   и  включает в себя разделы, определяющие порядок прогнозирования доходов  и расходов местного бюджета.</w:t>
      </w:r>
    </w:p>
    <w:p w:rsidR="0032256C" w:rsidRDefault="0032256C" w:rsidP="0032256C">
      <w:pPr>
        <w:pStyle w:val="ConsNormal"/>
        <w:ind w:right="0" w:firstLine="567"/>
        <w:jc w:val="both"/>
        <w:rPr>
          <w:rFonts w:ascii="Times New Roman" w:hAnsi="Times New Roman" w:cs="Times New Roman"/>
          <w:sz w:val="28"/>
          <w:szCs w:val="28"/>
        </w:rPr>
      </w:pPr>
    </w:p>
    <w:p w:rsidR="0032256C" w:rsidRDefault="0032256C" w:rsidP="0032256C">
      <w:pPr>
        <w:pStyle w:val="ConsNormal"/>
        <w:ind w:right="0" w:firstLine="567"/>
        <w:jc w:val="both"/>
        <w:rPr>
          <w:rFonts w:ascii="Times New Roman" w:hAnsi="Times New Roman" w:cs="Times New Roman"/>
          <w:sz w:val="28"/>
          <w:szCs w:val="28"/>
        </w:rPr>
      </w:pPr>
    </w:p>
    <w:p w:rsidR="0032256C" w:rsidRDefault="0032256C" w:rsidP="0032256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Прогноз доходов местного бюджета</w:t>
      </w:r>
    </w:p>
    <w:p w:rsidR="0032256C" w:rsidRDefault="0032256C" w:rsidP="0032256C">
      <w:pPr>
        <w:pStyle w:val="ConsPlusNormal"/>
        <w:jc w:val="both"/>
        <w:rPr>
          <w:rFonts w:ascii="Times New Roman" w:hAnsi="Times New Roman" w:cs="Times New Roman"/>
          <w:sz w:val="28"/>
          <w:szCs w:val="28"/>
        </w:rPr>
      </w:pPr>
    </w:p>
    <w:p w:rsidR="0032256C" w:rsidRDefault="0032256C" w:rsidP="0032256C">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Налоговые и неналоговые доходы, подлежащие зачислению в местный  бюджет, определены на основании сведений, предоставляемых главными администраторами (администраторами) доходов.</w:t>
      </w:r>
    </w:p>
    <w:p w:rsidR="0032256C" w:rsidRDefault="0032256C" w:rsidP="0032256C">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в местный бюджет прогнозируются на основании:</w:t>
      </w:r>
    </w:p>
    <w:p w:rsidR="0032256C" w:rsidRDefault="0032256C" w:rsidP="0032256C">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 объемов межбюджетных трансфертов, распределение которых на 2021 и 2022-2023 годы утверждено проектом областного бюджета на 2021 год и плановый период 2022-2023 годов и правовыми актами Правительства Оренбургской области;</w:t>
      </w:r>
    </w:p>
    <w:p w:rsidR="0032256C" w:rsidRDefault="0032256C" w:rsidP="0032256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распределения объемов межбюджетных трансфертов в соответствии с проектом районного бюджета на 2021 год и на плановый период 2022-2023 годов.</w:t>
      </w:r>
    </w:p>
    <w:p w:rsidR="0032256C" w:rsidRDefault="0032256C" w:rsidP="0032256C">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Прогнозирование доходов местного бюджета осуществляется в тысячах рублей.</w:t>
      </w:r>
    </w:p>
    <w:p w:rsidR="0032256C" w:rsidRDefault="0032256C" w:rsidP="0032256C">
      <w:pPr>
        <w:pStyle w:val="ConsPlusNormal"/>
        <w:widowControl/>
        <w:ind w:firstLine="284"/>
        <w:jc w:val="both"/>
        <w:rPr>
          <w:rFonts w:ascii="Times New Roman" w:hAnsi="Times New Roman" w:cs="Times New Roman"/>
          <w:sz w:val="28"/>
          <w:szCs w:val="28"/>
        </w:rPr>
      </w:pPr>
    </w:p>
    <w:p w:rsidR="0032256C" w:rsidRDefault="0032256C" w:rsidP="0032256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II. Прогноз поступления налогов</w:t>
      </w:r>
    </w:p>
    <w:p w:rsidR="0032256C" w:rsidRDefault="0032256C" w:rsidP="0032256C">
      <w:pPr>
        <w:pStyle w:val="ConsPlusNormal"/>
        <w:widowControl/>
        <w:ind w:firstLine="284"/>
        <w:jc w:val="both"/>
        <w:rPr>
          <w:rFonts w:ascii="Times New Roman" w:hAnsi="Times New Roman" w:cs="Times New Roman"/>
          <w:sz w:val="28"/>
          <w:szCs w:val="28"/>
        </w:rPr>
      </w:pPr>
    </w:p>
    <w:p w:rsidR="0032256C" w:rsidRPr="00430420" w:rsidRDefault="0032256C" w:rsidP="0032256C">
      <w:pPr>
        <w:spacing w:after="0"/>
        <w:ind w:firstLine="284"/>
        <w:jc w:val="both"/>
        <w:rPr>
          <w:rFonts w:ascii="Times New Roman" w:hAnsi="Times New Roman" w:cs="Times New Roman"/>
          <w:sz w:val="28"/>
          <w:szCs w:val="28"/>
        </w:rPr>
      </w:pPr>
      <w:r w:rsidRPr="00430420">
        <w:rPr>
          <w:rFonts w:ascii="Times New Roman" w:hAnsi="Times New Roman" w:cs="Times New Roman"/>
          <w:sz w:val="28"/>
          <w:szCs w:val="28"/>
        </w:rPr>
        <w:t>Прогнозируемый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налога на доходы физических лиц с доходов, полученных физическими лицами в соответствии со статьей 228 Налогового кодекса Российской Федерации; единого сельскохозяйственного налога; налога на имущество физических лиц; земельного налога в консолидированный бюджет Оренбургской области определены на основании сведений, представленных Межрайонной ИФНС №7 по Оренбургской области.</w:t>
      </w:r>
    </w:p>
    <w:p w:rsidR="0032256C" w:rsidRDefault="0032256C" w:rsidP="0032256C">
      <w:pPr>
        <w:pStyle w:val="ConsPlusNormal"/>
        <w:widowControl/>
        <w:tabs>
          <w:tab w:val="left" w:pos="675"/>
          <w:tab w:val="center" w:pos="4677"/>
        </w:tabs>
        <w:ind w:firstLine="284"/>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пошлина  </w:t>
      </w:r>
      <w:r>
        <w:rPr>
          <w:rFonts w:ascii="Times New Roman" w:hAnsi="Times New Roman" w:cs="Times New Roman"/>
          <w:color w:val="000000"/>
          <w:sz w:val="28"/>
          <w:szCs w:val="28"/>
        </w:rPr>
        <w:t xml:space="preserve">планируется на уровне 2020 г.  </w:t>
      </w:r>
    </w:p>
    <w:p w:rsidR="0032256C" w:rsidRDefault="0032256C" w:rsidP="0032256C">
      <w:pPr>
        <w:spacing w:after="0"/>
        <w:ind w:firstLine="567"/>
        <w:jc w:val="both"/>
        <w:rPr>
          <w:rFonts w:ascii="Times New Roman" w:hAnsi="Times New Roman" w:cs="Times New Roman"/>
          <w:sz w:val="28"/>
          <w:szCs w:val="28"/>
        </w:rPr>
      </w:pPr>
      <w:r>
        <w:t xml:space="preserve"> </w:t>
      </w:r>
      <w:r>
        <w:tab/>
      </w:r>
    </w:p>
    <w:p w:rsidR="0032256C" w:rsidRPr="00430420" w:rsidRDefault="0032256C" w:rsidP="0032256C">
      <w:pPr>
        <w:spacing w:after="40"/>
        <w:rPr>
          <w:rFonts w:ascii="Times New Roman" w:hAnsi="Times New Roman" w:cs="Times New Roman"/>
          <w:sz w:val="28"/>
          <w:szCs w:val="28"/>
        </w:rPr>
      </w:pPr>
      <w:r w:rsidRPr="00430420">
        <w:rPr>
          <w:rFonts w:ascii="Times New Roman" w:hAnsi="Times New Roman" w:cs="Times New Roman"/>
          <w:sz w:val="28"/>
          <w:szCs w:val="28"/>
          <w:lang w:val="en-US"/>
        </w:rPr>
        <w:t>III</w:t>
      </w:r>
      <w:r w:rsidRPr="00430420">
        <w:rPr>
          <w:rFonts w:ascii="Times New Roman" w:hAnsi="Times New Roman" w:cs="Times New Roman"/>
          <w:sz w:val="28"/>
          <w:szCs w:val="28"/>
        </w:rPr>
        <w:t>. Планирование бюджетных ассигнований местного бюджета.</w:t>
      </w:r>
    </w:p>
    <w:p w:rsidR="0032256C" w:rsidRDefault="0032256C" w:rsidP="0032256C">
      <w:pPr>
        <w:spacing w:after="40"/>
      </w:pPr>
    </w:p>
    <w:p w:rsidR="0032256C" w:rsidRDefault="0032256C" w:rsidP="0032256C">
      <w:pPr>
        <w:pStyle w:val="ConsPlusNormal"/>
        <w:spacing w:after="40"/>
        <w:ind w:firstLine="284"/>
        <w:jc w:val="both"/>
        <w:rPr>
          <w:rFonts w:ascii="Times New Roman" w:hAnsi="Times New Roman" w:cs="Times New Roman"/>
          <w:sz w:val="28"/>
          <w:szCs w:val="28"/>
        </w:rPr>
      </w:pPr>
      <w:r>
        <w:rPr>
          <w:rFonts w:ascii="Times New Roman" w:hAnsi="Times New Roman" w:cs="Times New Roman"/>
          <w:sz w:val="28"/>
          <w:szCs w:val="28"/>
        </w:rPr>
        <w:t>Планирование бюджетных ассигнований местного бюджета осуществляется  в соответствии с нормативными правовыми актами федерального, регионального и местного уровней, регулирующими бюджетные правоотношения, в том числе актами, устанавливающими расходные обязательства муниципального образования Светлый сельсовет.</w:t>
      </w:r>
    </w:p>
    <w:p w:rsidR="0032256C" w:rsidRDefault="0032256C" w:rsidP="0032256C">
      <w:pPr>
        <w:pStyle w:val="a4"/>
        <w:spacing w:after="40"/>
        <w:ind w:firstLine="284"/>
        <w:jc w:val="both"/>
        <w:rPr>
          <w:color w:val="000000"/>
          <w:szCs w:val="28"/>
        </w:rPr>
      </w:pPr>
      <w:proofErr w:type="gramStart"/>
      <w:r>
        <w:rPr>
          <w:color w:val="000000"/>
          <w:szCs w:val="28"/>
        </w:rPr>
        <w:t xml:space="preserve">Формирование  предельных расчетных объемов  бюджетных ассигнований на 2021 год  и плановый период 2022-2023 годов (далее – плановый период) производится исходя из прогнозируемого объема налоговых  и неналоговых  доходов  местного бюджета, дотации на выравнивание  бюджетной  обеспеченности, дотации на поддержку мер по обеспечению сбалансированности бюджетов, субвенции на осуществление первичного воинского учета на территориях, где отсутствуют военные комиссариаты. </w:t>
      </w:r>
      <w:proofErr w:type="gramEnd"/>
    </w:p>
    <w:p w:rsidR="0032256C" w:rsidRDefault="0032256C" w:rsidP="0032256C">
      <w:pPr>
        <w:pStyle w:val="a4"/>
        <w:spacing w:after="40"/>
        <w:ind w:firstLine="284"/>
        <w:jc w:val="both"/>
        <w:rPr>
          <w:color w:val="000000"/>
          <w:szCs w:val="28"/>
        </w:rPr>
      </w:pPr>
      <w:proofErr w:type="gramStart"/>
      <w:r>
        <w:rPr>
          <w:color w:val="000000"/>
          <w:szCs w:val="28"/>
        </w:rPr>
        <w:t>Предельные объемы бюджетных ассигнований на исполнение расходных обязательств Светлого сельсовета, как главного распорядителя средств местного бюджета, определяются исходя из объемов бюджетных ассигнований, утвержденных решением  Совета депутатов Светлого сельсовета «О бюджете на 2020 год и плановый период 2021 и 2022 годов" в действующей редакции с корректировкой с учетом особенностей формирования бюджетных ассигнований  и добавления к ним параметров 2023 года.</w:t>
      </w:r>
      <w:proofErr w:type="gramEnd"/>
    </w:p>
    <w:p w:rsidR="0032256C" w:rsidRDefault="0032256C" w:rsidP="0032256C">
      <w:pPr>
        <w:pStyle w:val="a4"/>
        <w:spacing w:after="40"/>
        <w:ind w:firstLine="284"/>
        <w:jc w:val="both"/>
        <w:rPr>
          <w:color w:val="000000"/>
          <w:szCs w:val="28"/>
        </w:rPr>
      </w:pPr>
      <w:r>
        <w:rPr>
          <w:color w:val="000000"/>
          <w:szCs w:val="28"/>
        </w:rPr>
        <w:lastRenderedPageBreak/>
        <w:t xml:space="preserve">Бюджетные ассигнования планируются в разрезе кодов ведомств, разделов, подразделов,  целевых статей, вида расходов, дополнительной  классификации (тип средств, КОСГУ, </w:t>
      </w:r>
      <w:proofErr w:type="spellStart"/>
      <w:r>
        <w:rPr>
          <w:color w:val="000000"/>
          <w:szCs w:val="28"/>
        </w:rPr>
        <w:t>субКОСГУ</w:t>
      </w:r>
      <w:proofErr w:type="spellEnd"/>
      <w:r>
        <w:rPr>
          <w:color w:val="000000"/>
          <w:szCs w:val="28"/>
        </w:rPr>
        <w:t>).</w:t>
      </w:r>
    </w:p>
    <w:p w:rsidR="0032256C" w:rsidRDefault="0032256C" w:rsidP="0032256C">
      <w:pPr>
        <w:pStyle w:val="a4"/>
        <w:spacing w:after="40"/>
        <w:ind w:firstLine="284"/>
        <w:jc w:val="both"/>
        <w:rPr>
          <w:color w:val="000000"/>
          <w:szCs w:val="28"/>
        </w:rPr>
      </w:pPr>
      <w:r>
        <w:rPr>
          <w:color w:val="000000"/>
          <w:szCs w:val="28"/>
        </w:rPr>
        <w:t>При планировании бюджетных ассигнований учитываются расходы, предусмотренные  муниципальными программами и проектами муниципальных программ, разработанными в соответствии с Порядком формирования, реализации и проведения оценки эффективности реализации муниципальных программ и  планируемыми к реализации  в  2021 году и плановом периоде.</w:t>
      </w:r>
    </w:p>
    <w:p w:rsidR="0032256C" w:rsidRDefault="0032256C" w:rsidP="0032256C">
      <w:pPr>
        <w:pStyle w:val="a4"/>
        <w:spacing w:after="40"/>
        <w:ind w:firstLine="284"/>
        <w:jc w:val="both"/>
        <w:rPr>
          <w:color w:val="000000"/>
          <w:szCs w:val="28"/>
        </w:rPr>
      </w:pPr>
      <w:r>
        <w:rPr>
          <w:color w:val="000000"/>
          <w:szCs w:val="28"/>
        </w:rPr>
        <w:t xml:space="preserve">К </w:t>
      </w:r>
      <w:proofErr w:type="spellStart"/>
      <w:r>
        <w:rPr>
          <w:color w:val="000000"/>
          <w:szCs w:val="28"/>
        </w:rPr>
        <w:t>непрограммным</w:t>
      </w:r>
      <w:proofErr w:type="spellEnd"/>
      <w:r>
        <w:rPr>
          <w:color w:val="000000"/>
          <w:szCs w:val="28"/>
        </w:rPr>
        <w:t xml:space="preserve"> расходам местного бюджета в 2021 году и плановом периоде относятся:</w:t>
      </w:r>
    </w:p>
    <w:p w:rsidR="0032256C" w:rsidRDefault="0032256C" w:rsidP="0032256C">
      <w:pPr>
        <w:pStyle w:val="a4"/>
        <w:spacing w:after="40"/>
        <w:ind w:firstLine="284"/>
        <w:jc w:val="both"/>
        <w:rPr>
          <w:color w:val="000000"/>
          <w:szCs w:val="28"/>
        </w:rPr>
      </w:pPr>
      <w:r>
        <w:rPr>
          <w:color w:val="000000"/>
          <w:szCs w:val="28"/>
        </w:rPr>
        <w:t>-  расходы, осуществляемые  за счёт средств резервного фонда.</w:t>
      </w:r>
    </w:p>
    <w:p w:rsidR="0032256C" w:rsidRDefault="0032256C" w:rsidP="0032256C">
      <w:pPr>
        <w:pStyle w:val="a4"/>
        <w:spacing w:after="40"/>
        <w:ind w:firstLine="284"/>
        <w:jc w:val="both"/>
        <w:rPr>
          <w:color w:val="000000"/>
          <w:szCs w:val="28"/>
        </w:rPr>
      </w:pPr>
      <w:r>
        <w:rPr>
          <w:color w:val="000000"/>
          <w:szCs w:val="28"/>
        </w:rPr>
        <w:t>При планировании бюджетных ассигнований производится инвентаризация бюджетных обязательств в целях исключения необязательных в текущей ситуации затрат, определения приоритетов в расходовании бюджетных средств, приведения расходов местного  бюджета в соответствие с бюджетным законодательством.</w:t>
      </w:r>
    </w:p>
    <w:p w:rsidR="0032256C" w:rsidRDefault="0032256C" w:rsidP="0032256C">
      <w:pPr>
        <w:pStyle w:val="a4"/>
        <w:spacing w:after="40"/>
        <w:ind w:firstLine="284"/>
        <w:jc w:val="both"/>
        <w:rPr>
          <w:color w:val="000000"/>
          <w:szCs w:val="28"/>
        </w:rPr>
      </w:pPr>
      <w:r>
        <w:rPr>
          <w:color w:val="000000"/>
          <w:szCs w:val="28"/>
        </w:rPr>
        <w:t xml:space="preserve">Планирование бюджетных ассигнований, источником финансирования которых являются  безвозмездные поступления, предоставляемые из областного бюджета, осуществляется на основе проекта Закона Оренбургской области «Об областном бюджете на 2021 год и на плановый период 2022 и 2023 годов», на основании  прогнозных данных ИМТ, представленных  главным распорядителем средств районного бюджета с приложением  соответствующих методик.  </w:t>
      </w:r>
    </w:p>
    <w:p w:rsidR="0032256C" w:rsidRDefault="0032256C" w:rsidP="0032256C">
      <w:pPr>
        <w:pStyle w:val="a4"/>
        <w:spacing w:after="40"/>
        <w:ind w:firstLine="284"/>
        <w:jc w:val="both"/>
        <w:rPr>
          <w:color w:val="000000"/>
          <w:szCs w:val="28"/>
        </w:rPr>
      </w:pPr>
      <w:r>
        <w:rPr>
          <w:color w:val="000000"/>
          <w:szCs w:val="28"/>
        </w:rPr>
        <w:t>Объем расходных обязательств на 2021 год и плановый период  определяется главным  распорядителем  средств местного бюджета  с выделением ассигнований на исполнение действующих и  принимаемых обязательств.</w:t>
      </w:r>
    </w:p>
    <w:p w:rsidR="0032256C" w:rsidRDefault="0032256C" w:rsidP="0032256C">
      <w:pPr>
        <w:pStyle w:val="a4"/>
        <w:spacing w:after="40"/>
        <w:ind w:firstLine="284"/>
        <w:jc w:val="both"/>
        <w:rPr>
          <w:color w:val="000000"/>
          <w:szCs w:val="28"/>
        </w:rPr>
      </w:pPr>
      <w:r>
        <w:rPr>
          <w:color w:val="000000"/>
          <w:szCs w:val="28"/>
        </w:rPr>
        <w:t xml:space="preserve">Вносимые главным распорядителем средств местного бюджета бюджетные заявки должны быть подкреплены обоснованиями, подтверждены расчетами. </w:t>
      </w:r>
    </w:p>
    <w:p w:rsidR="0032256C" w:rsidRDefault="0032256C" w:rsidP="0032256C">
      <w:pPr>
        <w:pStyle w:val="a4"/>
        <w:spacing w:after="40"/>
        <w:ind w:firstLine="284"/>
        <w:jc w:val="both"/>
        <w:rPr>
          <w:color w:val="000000"/>
          <w:szCs w:val="28"/>
        </w:rPr>
      </w:pPr>
      <w:r>
        <w:rPr>
          <w:color w:val="000000"/>
          <w:szCs w:val="28"/>
        </w:rPr>
        <w:t>Бюджетные ассигнования на исполнение принимаемых обязательств, включаются в проект местного бюджета после обеспечения источниками финансирования бюджетных ассигнований на исполнение действующих расходных обязательств.</w:t>
      </w:r>
    </w:p>
    <w:p w:rsidR="0032256C" w:rsidRDefault="0032256C" w:rsidP="0032256C">
      <w:pPr>
        <w:pStyle w:val="a4"/>
        <w:spacing w:after="40"/>
        <w:ind w:firstLine="284"/>
        <w:jc w:val="both"/>
        <w:rPr>
          <w:color w:val="000000"/>
          <w:szCs w:val="28"/>
        </w:rPr>
      </w:pPr>
      <w:r>
        <w:rPr>
          <w:color w:val="000000"/>
          <w:szCs w:val="28"/>
        </w:rPr>
        <w:t xml:space="preserve">При формировании бюджетных заявок на 2021 год и плановый период учитывается следующее:  в полном объёме планируются ассигнования </w:t>
      </w:r>
      <w:proofErr w:type="gramStart"/>
      <w:r>
        <w:rPr>
          <w:color w:val="000000"/>
          <w:szCs w:val="28"/>
        </w:rPr>
        <w:t>на</w:t>
      </w:r>
      <w:proofErr w:type="gramEnd"/>
      <w:r>
        <w:rPr>
          <w:color w:val="000000"/>
          <w:szCs w:val="28"/>
        </w:rPr>
        <w:t>:</w:t>
      </w:r>
    </w:p>
    <w:p w:rsidR="0032256C" w:rsidRDefault="0032256C" w:rsidP="0032256C">
      <w:pPr>
        <w:pStyle w:val="a4"/>
        <w:spacing w:after="40"/>
        <w:ind w:firstLine="284"/>
        <w:jc w:val="both"/>
        <w:rPr>
          <w:color w:val="000000"/>
          <w:szCs w:val="28"/>
        </w:rPr>
      </w:pPr>
      <w:r>
        <w:rPr>
          <w:color w:val="000000"/>
          <w:szCs w:val="28"/>
        </w:rPr>
        <w:t>- заработную плату и начисления на оплату труда;</w:t>
      </w:r>
    </w:p>
    <w:p w:rsidR="0032256C" w:rsidRDefault="0032256C" w:rsidP="0032256C">
      <w:pPr>
        <w:pStyle w:val="a4"/>
        <w:spacing w:after="40"/>
        <w:ind w:firstLine="284"/>
        <w:jc w:val="both"/>
        <w:rPr>
          <w:color w:val="000000"/>
          <w:szCs w:val="28"/>
        </w:rPr>
      </w:pPr>
      <w:r>
        <w:rPr>
          <w:color w:val="000000"/>
          <w:szCs w:val="28"/>
        </w:rPr>
        <w:t>- расходы на оплату коммунальных услуг;</w:t>
      </w:r>
    </w:p>
    <w:p w:rsidR="0032256C" w:rsidRDefault="0032256C" w:rsidP="0032256C">
      <w:pPr>
        <w:pStyle w:val="a4"/>
        <w:spacing w:after="40"/>
        <w:ind w:firstLine="284"/>
        <w:jc w:val="both"/>
        <w:rPr>
          <w:color w:val="000000"/>
          <w:szCs w:val="28"/>
        </w:rPr>
      </w:pPr>
      <w:r>
        <w:rPr>
          <w:color w:val="000000"/>
          <w:szCs w:val="28"/>
        </w:rPr>
        <w:t>- расходы на оплату услуг связи;</w:t>
      </w:r>
    </w:p>
    <w:p w:rsidR="0032256C" w:rsidRDefault="0032256C" w:rsidP="0032256C">
      <w:pPr>
        <w:pStyle w:val="a4"/>
        <w:spacing w:after="40"/>
        <w:ind w:firstLine="284"/>
        <w:jc w:val="both"/>
        <w:rPr>
          <w:color w:val="000000"/>
          <w:szCs w:val="28"/>
        </w:rPr>
      </w:pPr>
      <w:r>
        <w:rPr>
          <w:color w:val="000000"/>
          <w:szCs w:val="28"/>
        </w:rPr>
        <w:t>- расходы на уплату налогов, сборов и иных платежей в бюджет;</w:t>
      </w:r>
    </w:p>
    <w:p w:rsidR="0032256C" w:rsidRDefault="0032256C" w:rsidP="0032256C">
      <w:pPr>
        <w:pStyle w:val="a4"/>
        <w:spacing w:after="40"/>
        <w:ind w:firstLine="284"/>
        <w:jc w:val="both"/>
        <w:rPr>
          <w:color w:val="000000"/>
          <w:szCs w:val="28"/>
        </w:rPr>
      </w:pPr>
      <w:r>
        <w:rPr>
          <w:color w:val="000000"/>
          <w:szCs w:val="28"/>
        </w:rPr>
        <w:t>- публичные нормативные обязательства.</w:t>
      </w:r>
    </w:p>
    <w:p w:rsidR="0032256C" w:rsidRDefault="0032256C" w:rsidP="0032256C">
      <w:pPr>
        <w:pStyle w:val="a4"/>
        <w:spacing w:after="40"/>
        <w:ind w:firstLine="284"/>
        <w:jc w:val="both"/>
        <w:rPr>
          <w:color w:val="000000"/>
          <w:szCs w:val="28"/>
        </w:rPr>
      </w:pPr>
      <w:r>
        <w:rPr>
          <w:color w:val="000000"/>
          <w:szCs w:val="28"/>
        </w:rPr>
        <w:lastRenderedPageBreak/>
        <w:t>Затраты на уплату налога на имущество, транспортного и земельного налогов рассчитываются иным методом в соответствии с налоговым законодательством.</w:t>
      </w:r>
    </w:p>
    <w:p w:rsidR="0032256C" w:rsidRDefault="0032256C" w:rsidP="0032256C">
      <w:pPr>
        <w:pStyle w:val="a4"/>
        <w:spacing w:after="40"/>
        <w:ind w:firstLine="284"/>
        <w:jc w:val="both"/>
        <w:rPr>
          <w:color w:val="000000"/>
          <w:szCs w:val="28"/>
        </w:rPr>
      </w:pPr>
      <w:r>
        <w:rPr>
          <w:color w:val="000000"/>
          <w:szCs w:val="28"/>
        </w:rPr>
        <w:t>Объем бюджетных ассигнований на финансовое обеспечение материальных затрат определяется с учетом планируемых закупок на очередной финансовый год и плановый период в соответствии с требованиями существующего законодательства.</w:t>
      </w:r>
    </w:p>
    <w:p w:rsidR="0032256C" w:rsidRPr="00430420" w:rsidRDefault="0032256C" w:rsidP="0032256C">
      <w:pPr>
        <w:ind w:firstLine="300"/>
        <w:jc w:val="both"/>
        <w:rPr>
          <w:rFonts w:ascii="Times New Roman" w:hAnsi="Times New Roman" w:cs="Times New Roman"/>
          <w:color w:val="000000"/>
          <w:sz w:val="28"/>
          <w:szCs w:val="28"/>
        </w:rPr>
      </w:pPr>
      <w:r w:rsidRPr="00430420">
        <w:rPr>
          <w:rFonts w:ascii="Times New Roman" w:hAnsi="Times New Roman" w:cs="Times New Roman"/>
          <w:color w:val="000000"/>
          <w:sz w:val="28"/>
          <w:szCs w:val="28"/>
        </w:rPr>
        <w:t xml:space="preserve"> Отсутствие необходимой нормативной правовой базы для осуществления бюджетных расходов (за исключением расходов по муниципальным программам) является основанием для исключения (непринятия к рассмотрению) их из бюджетных заявок на 2021 год и плановый период 2022-2023 годов. Вновь принимаемые обязательства должны быть оформлены муниципальными правовыми актами в соответствии с требованиями  статьи 86 Бюджетного кодекса Российской Федерации.</w:t>
      </w:r>
    </w:p>
    <w:p w:rsidR="0032256C" w:rsidRPr="00430420" w:rsidRDefault="0032256C" w:rsidP="0032256C">
      <w:pPr>
        <w:spacing w:after="40"/>
        <w:ind w:firstLine="284"/>
        <w:jc w:val="both"/>
        <w:rPr>
          <w:rFonts w:ascii="Times New Roman" w:hAnsi="Times New Roman" w:cs="Times New Roman"/>
          <w:sz w:val="28"/>
          <w:szCs w:val="28"/>
        </w:rPr>
      </w:pPr>
      <w:bookmarkStart w:id="0" w:name="Par526"/>
      <w:bookmarkEnd w:id="0"/>
      <w:r w:rsidRPr="00430420">
        <w:rPr>
          <w:rFonts w:ascii="Times New Roman" w:hAnsi="Times New Roman" w:cs="Times New Roman"/>
          <w:bCs/>
          <w:sz w:val="28"/>
          <w:szCs w:val="28"/>
        </w:rPr>
        <w:t>Объемы бюджетных ассигнований на реализацию мероприятий муниципальных программ планируются с учетом предполагаемых изменений в муниципальные программы, направленных на достижение значений индикативных показателей.</w:t>
      </w:r>
    </w:p>
    <w:p w:rsidR="0032256C" w:rsidRPr="00430420" w:rsidRDefault="0032256C" w:rsidP="0032256C">
      <w:pPr>
        <w:autoSpaceDE w:val="0"/>
        <w:autoSpaceDN w:val="0"/>
        <w:adjustRightInd w:val="0"/>
        <w:spacing w:after="0"/>
        <w:ind w:firstLine="284"/>
        <w:jc w:val="both"/>
        <w:rPr>
          <w:rFonts w:ascii="Times New Roman" w:hAnsi="Times New Roman" w:cs="Times New Roman"/>
          <w:bCs/>
          <w:sz w:val="28"/>
          <w:szCs w:val="28"/>
        </w:rPr>
      </w:pPr>
      <w:r w:rsidRPr="00430420">
        <w:rPr>
          <w:rFonts w:ascii="Times New Roman" w:hAnsi="Times New Roman" w:cs="Times New Roman"/>
          <w:sz w:val="28"/>
          <w:szCs w:val="28"/>
        </w:rPr>
        <w:t>Основными направлениями оптимизации расходов местного бюджета является сокращение расходов на закупку товаров, работ и услуг для муниципальных нужд.</w:t>
      </w:r>
    </w:p>
    <w:p w:rsidR="0032256C" w:rsidRDefault="0032256C" w:rsidP="0032256C">
      <w:pPr>
        <w:pStyle w:val="a4"/>
        <w:spacing w:after="40"/>
        <w:ind w:firstLine="284"/>
        <w:jc w:val="both"/>
        <w:rPr>
          <w:color w:val="000000"/>
          <w:szCs w:val="28"/>
        </w:rPr>
      </w:pPr>
      <w:r>
        <w:rPr>
          <w:color w:val="000000"/>
          <w:szCs w:val="28"/>
        </w:rPr>
        <w:t xml:space="preserve">Предельные объемы бюджетных ассигнований на исполнение расходных обязательств МО </w:t>
      </w:r>
      <w:r w:rsidR="00995A85">
        <w:rPr>
          <w:color w:val="000000"/>
          <w:szCs w:val="28"/>
        </w:rPr>
        <w:t>Светлы</w:t>
      </w:r>
      <w:r>
        <w:rPr>
          <w:color w:val="000000"/>
          <w:szCs w:val="28"/>
        </w:rPr>
        <w:t>й сельсовет на 2021 год и плановый период определяются исходя из единых для всех субъектов бюджетного планирования подходов к формированию расходов местного бюджета с учетом следующих особенностей:</w:t>
      </w:r>
    </w:p>
    <w:p w:rsidR="0032256C" w:rsidRDefault="0032256C" w:rsidP="0032256C">
      <w:pPr>
        <w:pStyle w:val="formattext"/>
        <w:spacing w:before="0" w:beforeAutospacing="0" w:after="0" w:afterAutospacing="0"/>
        <w:jc w:val="both"/>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7087"/>
      </w:tblGrid>
      <w:tr w:rsidR="0032256C" w:rsidTr="00285A04">
        <w:tc>
          <w:tcPr>
            <w:tcW w:w="3261" w:type="dxa"/>
            <w:tcBorders>
              <w:top w:val="single" w:sz="4" w:space="0" w:color="auto"/>
              <w:left w:val="single" w:sz="4" w:space="0" w:color="auto"/>
              <w:bottom w:val="single" w:sz="4" w:space="0" w:color="auto"/>
              <w:right w:val="single" w:sz="4" w:space="0" w:color="auto"/>
            </w:tcBorders>
            <w:hideMark/>
          </w:tcPr>
          <w:p w:rsidR="0032256C" w:rsidRDefault="0032256C" w:rsidP="00EA57A0">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Направление расходов бюджета</w:t>
            </w:r>
          </w:p>
        </w:tc>
        <w:tc>
          <w:tcPr>
            <w:tcW w:w="7087" w:type="dxa"/>
            <w:tcBorders>
              <w:top w:val="single" w:sz="4" w:space="0" w:color="auto"/>
              <w:left w:val="single" w:sz="4" w:space="0" w:color="auto"/>
              <w:bottom w:val="single" w:sz="4" w:space="0" w:color="auto"/>
              <w:right w:val="single" w:sz="4" w:space="0" w:color="auto"/>
            </w:tcBorders>
            <w:hideMark/>
          </w:tcPr>
          <w:p w:rsidR="0032256C" w:rsidRDefault="0032256C" w:rsidP="00995A85">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расходов бюджета</w:t>
            </w:r>
          </w:p>
        </w:tc>
      </w:tr>
      <w:tr w:rsidR="0032256C" w:rsidTr="00285A04">
        <w:tc>
          <w:tcPr>
            <w:tcW w:w="3261" w:type="dxa"/>
            <w:tcBorders>
              <w:top w:val="single" w:sz="4" w:space="0" w:color="auto"/>
              <w:left w:val="single" w:sz="4" w:space="0" w:color="auto"/>
              <w:bottom w:val="single" w:sz="4" w:space="0" w:color="auto"/>
              <w:right w:val="single" w:sz="4" w:space="0" w:color="auto"/>
            </w:tcBorders>
            <w:hideMark/>
          </w:tcPr>
          <w:p w:rsidR="0032256C" w:rsidRDefault="0032256C" w:rsidP="00285A04">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285A0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Оплата </w:t>
            </w:r>
            <w:r w:rsidR="00995A8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труда работников </w:t>
            </w:r>
            <w:r w:rsidR="00995A8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органов местного самоуправления</w:t>
            </w:r>
          </w:p>
        </w:tc>
        <w:tc>
          <w:tcPr>
            <w:tcW w:w="7087" w:type="dxa"/>
            <w:tcBorders>
              <w:top w:val="single" w:sz="4" w:space="0" w:color="auto"/>
              <w:left w:val="single" w:sz="4" w:space="0" w:color="auto"/>
              <w:bottom w:val="single" w:sz="4" w:space="0" w:color="auto"/>
              <w:right w:val="single" w:sz="4" w:space="0" w:color="auto"/>
            </w:tcBorders>
            <w:hideMark/>
          </w:tcPr>
          <w:p w:rsidR="0032256C" w:rsidRDefault="0032256C" w:rsidP="00EA57A0">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rPr>
              <w:t>Расходы планируются исходя из предельной численности работников органов местного самоуправления, утвержденной нормативными актами МО Светлый сельсовет, и условий оплаты труда, установленных решениями  Совета депутатов  Светлый сельсовет в действующих редакциях. При расчете ф</w:t>
            </w:r>
            <w:r>
              <w:rPr>
                <w:rFonts w:ascii="Times New Roman" w:hAnsi="Times New Roman" w:cs="Times New Roman"/>
                <w:color w:val="000000"/>
                <w:sz w:val="28"/>
                <w:szCs w:val="28"/>
              </w:rPr>
              <w:t xml:space="preserve">онда оплаты труда учитывается   также  экономия в связи с выплатой пособий по временной нетрудоспособности и наличия вакантных должностей, индексация окладов  муниципальных служащих с 1 октября 2020 года, уплата  страховых взносов в государственные внебюджетные фонды в размере 30,2 процента. </w:t>
            </w:r>
          </w:p>
        </w:tc>
      </w:tr>
      <w:tr w:rsidR="0032256C" w:rsidTr="00285A04">
        <w:tc>
          <w:tcPr>
            <w:tcW w:w="3261" w:type="dxa"/>
            <w:tcBorders>
              <w:top w:val="single" w:sz="4" w:space="0" w:color="auto"/>
              <w:left w:val="single" w:sz="4" w:space="0" w:color="auto"/>
              <w:bottom w:val="single" w:sz="4" w:space="0" w:color="auto"/>
              <w:right w:val="single" w:sz="4" w:space="0" w:color="auto"/>
            </w:tcBorders>
            <w:hideMark/>
          </w:tcPr>
          <w:p w:rsidR="0032256C" w:rsidRPr="0012333B" w:rsidRDefault="0032256C" w:rsidP="00285A04">
            <w:pPr>
              <w:spacing w:before="100" w:beforeAutospacing="1" w:after="100" w:afterAutospacing="1" w:line="240" w:lineRule="auto"/>
              <w:jc w:val="center"/>
              <w:rPr>
                <w:rFonts w:ascii="Times New Roman" w:hAnsi="Times New Roman" w:cs="Times New Roman"/>
                <w:sz w:val="28"/>
                <w:szCs w:val="28"/>
                <w:lang w:eastAsia="ru-RU"/>
              </w:rPr>
            </w:pPr>
            <w:r w:rsidRPr="0012333B">
              <w:rPr>
                <w:rFonts w:ascii="Times New Roman" w:hAnsi="Times New Roman" w:cs="Times New Roman"/>
                <w:sz w:val="28"/>
                <w:szCs w:val="28"/>
                <w:lang w:eastAsia="ru-RU"/>
              </w:rPr>
              <w:lastRenderedPageBreak/>
              <w:t>2</w:t>
            </w:r>
            <w:r w:rsidR="00285A04">
              <w:rPr>
                <w:rFonts w:ascii="Times New Roman" w:hAnsi="Times New Roman" w:cs="Times New Roman"/>
                <w:sz w:val="28"/>
                <w:szCs w:val="28"/>
                <w:lang w:eastAsia="ru-RU"/>
              </w:rPr>
              <w:t xml:space="preserve">. </w:t>
            </w:r>
            <w:r w:rsidR="0012333B" w:rsidRPr="0012333B">
              <w:rPr>
                <w:rFonts w:ascii="Times New Roman" w:hAnsi="Times New Roman" w:cs="Times New Roman"/>
                <w:sz w:val="28"/>
                <w:szCs w:val="28"/>
              </w:rPr>
              <w:t>Прочие выплаты работникам муниципальных казенных учреждений</w:t>
            </w:r>
          </w:p>
        </w:tc>
        <w:tc>
          <w:tcPr>
            <w:tcW w:w="7087" w:type="dxa"/>
            <w:tcBorders>
              <w:top w:val="single" w:sz="4" w:space="0" w:color="auto"/>
              <w:left w:val="single" w:sz="4" w:space="0" w:color="auto"/>
              <w:bottom w:val="single" w:sz="4" w:space="0" w:color="auto"/>
              <w:right w:val="single" w:sz="4" w:space="0" w:color="auto"/>
            </w:tcBorders>
            <w:hideMark/>
          </w:tcPr>
          <w:p w:rsidR="0032256C" w:rsidRPr="0012333B" w:rsidRDefault="0012333B" w:rsidP="00EA57A0">
            <w:pPr>
              <w:spacing w:before="100" w:beforeAutospacing="1" w:after="100" w:afterAutospacing="1" w:line="240" w:lineRule="auto"/>
              <w:jc w:val="both"/>
              <w:rPr>
                <w:rFonts w:ascii="Times New Roman" w:hAnsi="Times New Roman" w:cs="Times New Roman"/>
                <w:sz w:val="28"/>
                <w:szCs w:val="28"/>
                <w:lang w:eastAsia="ru-RU"/>
              </w:rPr>
            </w:pPr>
            <w:r w:rsidRPr="0012333B">
              <w:rPr>
                <w:rFonts w:ascii="Times New Roman" w:hAnsi="Times New Roman" w:cs="Times New Roman"/>
                <w:sz w:val="28"/>
                <w:szCs w:val="28"/>
              </w:rPr>
              <w:t>Расходы планируются на повышение квалификации, профессиональную переподготовку работников, установленные законодательством в рамках муниципальной программы, сокращение  количества командировок, нормативных актов, регламентирующих  выплаты компенсаций.</w:t>
            </w:r>
          </w:p>
        </w:tc>
      </w:tr>
      <w:tr w:rsidR="0032256C" w:rsidTr="00285A04">
        <w:tc>
          <w:tcPr>
            <w:tcW w:w="3261" w:type="dxa"/>
            <w:tcBorders>
              <w:top w:val="single" w:sz="4" w:space="0" w:color="auto"/>
              <w:left w:val="single" w:sz="4" w:space="0" w:color="auto"/>
              <w:bottom w:val="single" w:sz="4" w:space="0" w:color="auto"/>
              <w:right w:val="single" w:sz="4" w:space="0" w:color="auto"/>
            </w:tcBorders>
            <w:hideMark/>
          </w:tcPr>
          <w:p w:rsidR="0032256C" w:rsidRPr="0012333B" w:rsidRDefault="00285A04" w:rsidP="00285A04">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12333B" w:rsidRPr="0012333B">
              <w:rPr>
                <w:rFonts w:ascii="Times New Roman" w:hAnsi="Times New Roman" w:cs="Times New Roman"/>
                <w:sz w:val="28"/>
                <w:szCs w:val="28"/>
              </w:rPr>
              <w:t xml:space="preserve">Финансовое </w:t>
            </w:r>
            <w:r>
              <w:rPr>
                <w:rFonts w:ascii="Times New Roman" w:hAnsi="Times New Roman" w:cs="Times New Roman"/>
                <w:sz w:val="28"/>
                <w:szCs w:val="28"/>
              </w:rPr>
              <w:t>о</w:t>
            </w:r>
            <w:r w:rsidR="0012333B" w:rsidRPr="0012333B">
              <w:rPr>
                <w:rFonts w:ascii="Times New Roman" w:hAnsi="Times New Roman" w:cs="Times New Roman"/>
                <w:sz w:val="28"/>
                <w:szCs w:val="28"/>
              </w:rPr>
              <w:t xml:space="preserve">беспечение выполнения функций МО </w:t>
            </w:r>
            <w:r w:rsidR="0012333B">
              <w:rPr>
                <w:rFonts w:ascii="Times New Roman" w:hAnsi="Times New Roman" w:cs="Times New Roman"/>
                <w:sz w:val="28"/>
                <w:szCs w:val="28"/>
              </w:rPr>
              <w:t>Светлый</w:t>
            </w:r>
            <w:r w:rsidR="0012333B" w:rsidRPr="0012333B">
              <w:rPr>
                <w:rFonts w:ascii="Times New Roman" w:hAnsi="Times New Roman" w:cs="Times New Roman"/>
                <w:sz w:val="28"/>
                <w:szCs w:val="28"/>
              </w:rPr>
              <w:t xml:space="preserve"> сельсовет, в том числе по оказанию муниципальных услуг (выполнению работ) физическим и (или) юридическим лицам</w:t>
            </w:r>
          </w:p>
        </w:tc>
        <w:tc>
          <w:tcPr>
            <w:tcW w:w="7087" w:type="dxa"/>
            <w:tcBorders>
              <w:top w:val="single" w:sz="4" w:space="0" w:color="auto"/>
              <w:left w:val="single" w:sz="4" w:space="0" w:color="auto"/>
              <w:bottom w:val="single" w:sz="4" w:space="0" w:color="auto"/>
              <w:right w:val="single" w:sz="4" w:space="0" w:color="auto"/>
            </w:tcBorders>
            <w:hideMark/>
          </w:tcPr>
          <w:p w:rsidR="00285A04" w:rsidRDefault="0012333B" w:rsidP="00285A04">
            <w:pPr>
              <w:pStyle w:val="ConsPlusNormal"/>
              <w:spacing w:after="40"/>
              <w:ind w:firstLine="0"/>
              <w:jc w:val="both"/>
              <w:rPr>
                <w:rFonts w:ascii="Times New Roman" w:hAnsi="Times New Roman" w:cs="Times New Roman"/>
                <w:sz w:val="28"/>
                <w:szCs w:val="28"/>
              </w:rPr>
            </w:pPr>
            <w:r w:rsidRPr="0012333B">
              <w:rPr>
                <w:rFonts w:ascii="Times New Roman" w:hAnsi="Times New Roman" w:cs="Times New Roman"/>
                <w:sz w:val="28"/>
                <w:szCs w:val="28"/>
              </w:rPr>
              <w:t>Расходы планируются исходя из закрепленных за казенным учреждением функций, в том числе по оказанию муниципальных услуг (работ) физическим и юридическим лицам.</w:t>
            </w:r>
          </w:p>
          <w:p w:rsidR="0032256C" w:rsidRPr="0012333B" w:rsidRDefault="0012333B" w:rsidP="00285A04">
            <w:pPr>
              <w:pStyle w:val="ConsPlusNormal"/>
              <w:spacing w:after="40"/>
              <w:ind w:firstLine="0"/>
              <w:jc w:val="both"/>
              <w:rPr>
                <w:rFonts w:ascii="Times New Roman" w:hAnsi="Times New Roman" w:cs="Times New Roman"/>
                <w:sz w:val="28"/>
                <w:szCs w:val="28"/>
              </w:rPr>
            </w:pPr>
            <w:r w:rsidRPr="0012333B">
              <w:rPr>
                <w:rFonts w:ascii="Times New Roman" w:hAnsi="Times New Roman" w:cs="Times New Roman"/>
                <w:sz w:val="28"/>
                <w:szCs w:val="28"/>
              </w:rPr>
              <w:t>При расчете фонда оплаты труда отдельным категориям работников учитывается МРОТ в сумме 14711 рублей с учетом выплаты уральского коэффициента, уплата страховых взносов  в государственные внебюджетные фонды в размере 30,2 процента.</w:t>
            </w:r>
            <w:r w:rsidR="0032256C" w:rsidRPr="0012333B">
              <w:rPr>
                <w:rFonts w:ascii="Times New Roman" w:hAnsi="Times New Roman" w:cs="Times New Roman"/>
                <w:sz w:val="28"/>
                <w:szCs w:val="28"/>
              </w:rPr>
              <w:t xml:space="preserve"> </w:t>
            </w:r>
          </w:p>
        </w:tc>
      </w:tr>
      <w:tr w:rsidR="0032256C" w:rsidTr="00285A04">
        <w:tc>
          <w:tcPr>
            <w:tcW w:w="3261" w:type="dxa"/>
            <w:tcBorders>
              <w:top w:val="single" w:sz="4" w:space="0" w:color="auto"/>
              <w:left w:val="single" w:sz="4" w:space="0" w:color="auto"/>
              <w:bottom w:val="single" w:sz="4" w:space="0" w:color="auto"/>
              <w:right w:val="single" w:sz="4" w:space="0" w:color="auto"/>
            </w:tcBorders>
            <w:hideMark/>
          </w:tcPr>
          <w:p w:rsidR="0032256C" w:rsidRPr="0012333B" w:rsidRDefault="0032256C" w:rsidP="00285A04">
            <w:pPr>
              <w:spacing w:before="100" w:beforeAutospacing="1" w:after="100" w:afterAutospacing="1" w:line="240" w:lineRule="auto"/>
              <w:jc w:val="center"/>
              <w:rPr>
                <w:rFonts w:ascii="Times New Roman" w:hAnsi="Times New Roman" w:cs="Times New Roman"/>
                <w:sz w:val="28"/>
                <w:szCs w:val="28"/>
                <w:lang w:eastAsia="ru-RU"/>
              </w:rPr>
            </w:pPr>
            <w:r w:rsidRPr="0012333B">
              <w:rPr>
                <w:rFonts w:ascii="Times New Roman" w:hAnsi="Times New Roman" w:cs="Times New Roman"/>
                <w:sz w:val="28"/>
                <w:szCs w:val="28"/>
                <w:lang w:eastAsia="ru-RU"/>
              </w:rPr>
              <w:t>4.Формирование резервного фонда администрации Светлого сельсовета</w:t>
            </w:r>
          </w:p>
        </w:tc>
        <w:tc>
          <w:tcPr>
            <w:tcW w:w="7087" w:type="dxa"/>
            <w:tcBorders>
              <w:top w:val="single" w:sz="4" w:space="0" w:color="auto"/>
              <w:left w:val="single" w:sz="4" w:space="0" w:color="auto"/>
              <w:bottom w:val="single" w:sz="4" w:space="0" w:color="auto"/>
              <w:right w:val="single" w:sz="4" w:space="0" w:color="auto"/>
            </w:tcBorders>
            <w:hideMark/>
          </w:tcPr>
          <w:p w:rsidR="0032256C" w:rsidRPr="0012333B" w:rsidRDefault="006F20C2" w:rsidP="00EA57A0">
            <w:pPr>
              <w:spacing w:before="100" w:beforeAutospacing="1" w:after="100" w:afterAutospacing="1" w:line="240" w:lineRule="auto"/>
              <w:jc w:val="both"/>
              <w:rPr>
                <w:rFonts w:ascii="Times New Roman" w:hAnsi="Times New Roman" w:cs="Times New Roman"/>
                <w:sz w:val="28"/>
                <w:szCs w:val="28"/>
                <w:lang w:eastAsia="ru-RU"/>
              </w:rPr>
            </w:pPr>
            <w:r w:rsidRPr="00E51B72">
              <w:rPr>
                <w:rFonts w:ascii="Times New Roman" w:hAnsi="Times New Roman" w:cs="Times New Roman"/>
                <w:color w:val="333333"/>
                <w:sz w:val="26"/>
                <w:szCs w:val="26"/>
                <w:lang w:eastAsia="ru-RU"/>
              </w:rPr>
              <w:t>В соответствии со статьей 81 Бюджетного кодекса Российской Федерации</w:t>
            </w:r>
          </w:p>
        </w:tc>
      </w:tr>
    </w:tbl>
    <w:p w:rsidR="0032256C" w:rsidRDefault="0032256C" w:rsidP="0032256C">
      <w:pPr>
        <w:spacing w:after="40"/>
        <w:jc w:val="both"/>
        <w:rPr>
          <w:rFonts w:ascii="Times New Roman" w:hAnsi="Times New Roman" w:cs="Times New Roman"/>
          <w:sz w:val="28"/>
          <w:szCs w:val="28"/>
          <w:lang w:eastAsia="ru-RU"/>
        </w:rPr>
      </w:pPr>
    </w:p>
    <w:p w:rsidR="0032256C" w:rsidRDefault="0032256C" w:rsidP="0032256C">
      <w:pPr>
        <w:spacing w:after="40"/>
        <w:jc w:val="both"/>
        <w:rPr>
          <w:rFonts w:ascii="Times New Roman" w:hAnsi="Times New Roman" w:cs="Times New Roman"/>
          <w:sz w:val="28"/>
          <w:szCs w:val="28"/>
        </w:rPr>
      </w:pPr>
      <w:r>
        <w:rPr>
          <w:rFonts w:ascii="Times New Roman" w:hAnsi="Times New Roman" w:cs="Times New Roman"/>
          <w:sz w:val="28"/>
          <w:szCs w:val="28"/>
          <w:lang w:eastAsia="ru-RU"/>
        </w:rPr>
        <w:t>4.</w:t>
      </w:r>
      <w:r>
        <w:rPr>
          <w:rFonts w:ascii="Times New Roman" w:hAnsi="Times New Roman" w:cs="Times New Roman"/>
          <w:sz w:val="28"/>
          <w:szCs w:val="28"/>
        </w:rPr>
        <w:t xml:space="preserve"> Условно утвержденные расходы на 2022 и 2023 годы планируются в соответствии с существующим законодательством.</w:t>
      </w:r>
    </w:p>
    <w:p w:rsidR="0032256C" w:rsidRDefault="0032256C" w:rsidP="0032256C">
      <w:pPr>
        <w:rPr>
          <w:rFonts w:cs="Times New Roman"/>
        </w:rPr>
      </w:pPr>
    </w:p>
    <w:p w:rsidR="00725462" w:rsidRDefault="00725462"/>
    <w:sectPr w:rsidR="00725462" w:rsidSect="00725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D47E1"/>
    <w:multiLevelType w:val="hybridMultilevel"/>
    <w:tmpl w:val="7C5A2C4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A47561"/>
    <w:multiLevelType w:val="hybridMultilevel"/>
    <w:tmpl w:val="5CFEF8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2256C"/>
    <w:rsid w:val="0012333B"/>
    <w:rsid w:val="00285A04"/>
    <w:rsid w:val="0032256C"/>
    <w:rsid w:val="006855C5"/>
    <w:rsid w:val="006F20C2"/>
    <w:rsid w:val="00725462"/>
    <w:rsid w:val="00995A85"/>
    <w:rsid w:val="00E34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56C"/>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256C"/>
    <w:pPr>
      <w:ind w:left="720"/>
    </w:pPr>
  </w:style>
  <w:style w:type="paragraph" w:customStyle="1" w:styleId="ConsPlusNormal">
    <w:name w:val="ConsPlusNormal"/>
    <w:rsid w:val="003225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32256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32256C"/>
    <w:pPr>
      <w:spacing w:before="100" w:beforeAutospacing="1" w:after="100" w:afterAutospacing="1" w:line="240" w:lineRule="auto"/>
    </w:pPr>
    <w:rPr>
      <w:rFonts w:ascii="Times New Roman" w:hAnsi="Times New Roman" w:cs="Times New Roman"/>
      <w:sz w:val="24"/>
      <w:szCs w:val="24"/>
      <w:lang w:eastAsia="ru-RU"/>
    </w:rPr>
  </w:style>
  <w:style w:type="paragraph" w:styleId="a4">
    <w:name w:val="No Spacing"/>
    <w:uiPriority w:val="1"/>
    <w:qFormat/>
    <w:rsid w:val="0032256C"/>
    <w:pPr>
      <w:spacing w:after="0" w:line="240" w:lineRule="auto"/>
    </w:pPr>
    <w:rPr>
      <w:rFonts w:ascii="Times New Roman" w:eastAsia="Times New Roman" w:hAnsi="Times New Roman" w:cs="Times New Roman"/>
      <w:sz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FCD1E-D34E-40E7-BB87-110B9D00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dc:creator>
  <cp:keywords/>
  <dc:description/>
  <cp:lastModifiedBy>adm</cp:lastModifiedBy>
  <cp:revision>4</cp:revision>
  <cp:lastPrinted>2020-11-20T05:13:00Z</cp:lastPrinted>
  <dcterms:created xsi:type="dcterms:W3CDTF">2020-11-17T09:52:00Z</dcterms:created>
  <dcterms:modified xsi:type="dcterms:W3CDTF">2020-11-20T05:13:00Z</dcterms:modified>
</cp:coreProperties>
</file>